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80E5" w14:textId="47C1DBAB" w:rsidR="00225CCB" w:rsidRPr="00225CCB" w:rsidRDefault="00225CCB" w:rsidP="00225CCB">
      <w:pPr>
        <w:rPr>
          <w:b/>
          <w:bCs/>
        </w:rPr>
      </w:pPr>
      <w:r>
        <w:tab/>
      </w:r>
      <w:r>
        <w:rPr>
          <w:b/>
          <w:bCs/>
        </w:rPr>
        <w:t>Zákon č. 372/2011 Sb. o zdravotních službách a podmínkách jejich poskytování</w:t>
      </w:r>
    </w:p>
    <w:p w14:paraId="675F787B" w14:textId="6B9AC88C" w:rsidR="00225CCB" w:rsidRPr="00225CCB" w:rsidRDefault="00225CCB" w:rsidP="00225CCB">
      <w:r w:rsidRPr="00225CCB">
        <w:t>§ 66</w:t>
      </w:r>
      <w:r w:rsidRPr="00225CCB">
        <w:t xml:space="preserve"> </w:t>
      </w:r>
    </w:p>
    <w:p w14:paraId="549DE697" w14:textId="77777777" w:rsidR="00225CCB" w:rsidRPr="00225CCB" w:rsidRDefault="00225CCB" w:rsidP="00225CCB">
      <w:r w:rsidRPr="00225CCB">
        <w:t>(1) Pokud si osoba, která je podle </w:t>
      </w:r>
      <w:hyperlink r:id="rId4" w:history="1">
        <w:r w:rsidRPr="00225CCB">
          <w:rPr>
            <w:rStyle w:val="Hypertextovodkaz"/>
          </w:rPr>
          <w:t>§ 65 odst. 1</w:t>
        </w:r>
      </w:hyperlink>
      <w:r w:rsidRPr="00225CCB">
        <w:t> nebo </w:t>
      </w:r>
      <w:hyperlink r:id="rId5" w:history="1">
        <w:r w:rsidRPr="00225CCB">
          <w:rPr>
            <w:rStyle w:val="Hypertextovodkaz"/>
          </w:rPr>
          <w:t>odst. 2 písm. b) až k)</w:t>
        </w:r>
      </w:hyperlink>
      <w:r w:rsidRPr="00225CCB">
        <w:t> oprávněná k pořízení výpisu nebo kopie zdravotnické dokumentace, nepořídí výpis nebo kopii vlastními prostředky na místě, pořídí kopii zdravotnické dokumentace poskytovatel. Výpis zdravotnické dokumentace pro osoby uvedené ve větě první poskytovatel pořídí pouze v případě, je-li to účelnější než pořízení kopie, a to po dohodě s oprávněnou osobou. Poskytovatel pořídí výpis nebo kopii zdravotnické dokumentace</w:t>
      </w:r>
    </w:p>
    <w:p w14:paraId="48A41BE0" w14:textId="77777777" w:rsidR="00225CCB" w:rsidRPr="00225CCB" w:rsidRDefault="00225CCB" w:rsidP="00225CCB">
      <w:r w:rsidRPr="00225CCB">
        <w:t>a) pro osoby uvedené v </w:t>
      </w:r>
      <w:hyperlink r:id="rId6" w:history="1">
        <w:r w:rsidRPr="00225CCB">
          <w:rPr>
            <w:rStyle w:val="Hypertextovodkaz"/>
          </w:rPr>
          <w:t>§ 65 odst. 1</w:t>
        </w:r>
      </w:hyperlink>
      <w:r w:rsidRPr="00225CCB">
        <w:t> do 30 dnů od obdržení žádosti pacienta nebo jiné k tomu oprávněné osoby,</w:t>
      </w:r>
    </w:p>
    <w:p w14:paraId="5ACE453A" w14:textId="77777777" w:rsidR="00225CCB" w:rsidRPr="00225CCB" w:rsidRDefault="00225CCB" w:rsidP="00225CCB">
      <w:r w:rsidRPr="00225CCB">
        <w:t>b) pro osoby uvedené v </w:t>
      </w:r>
      <w:hyperlink r:id="rId7" w:history="1">
        <w:r w:rsidRPr="00225CCB">
          <w:rPr>
            <w:rStyle w:val="Hypertextovodkaz"/>
          </w:rPr>
          <w:t>§ 65 odst. 2 písm. b) až k)</w:t>
        </w:r>
      </w:hyperlink>
      <w:r w:rsidRPr="00225CCB">
        <w:t> v rozsahu nezbytném pro splnění účelu nahlížení do 15 dnů od obdržení písemné žádosti,</w:t>
      </w:r>
    </w:p>
    <w:p w14:paraId="3642AEA4" w14:textId="77777777" w:rsidR="00225CCB" w:rsidRPr="00225CCB" w:rsidRDefault="00225CCB" w:rsidP="00225CCB">
      <w:r w:rsidRPr="00225CCB">
        <w:t>pokud z jiného právního předpisu nevyplývá jiný postup nebo pokud nebyla dohodnuta jiná lhůta.</w:t>
      </w:r>
    </w:p>
    <w:p w14:paraId="3732AAFC" w14:textId="77777777" w:rsidR="00225CCB" w:rsidRPr="00225CCB" w:rsidRDefault="00225CCB" w:rsidP="00225CCB">
      <w:r w:rsidRPr="00225CCB">
        <w:t>(2) Pokud poskytovatel není schopen osobám uvedeným v </w:t>
      </w:r>
      <w:hyperlink r:id="rId8" w:history="1">
        <w:r w:rsidRPr="00225CCB">
          <w:rPr>
            <w:rStyle w:val="Hypertextovodkaz"/>
          </w:rPr>
          <w:t>§ 65 odst. 1</w:t>
        </w:r>
      </w:hyperlink>
      <w:r w:rsidRPr="00225CCB">
        <w:t> zajistit nahlížení do zdravotnické dokumentace, pořídí pro ně kopii zdravotnické dokumentace do 5 dnů ode dne, kdy oprávněné osobě sdělil, že nahlížení do zdravotnické dokumentace nelze zajistit, jestliže nebyla dohodnuta lhůta jiná. Za pořízení kopie nelze požadovat úhradu.</w:t>
      </w:r>
    </w:p>
    <w:p w14:paraId="2DD6647C" w14:textId="77777777" w:rsidR="00225CCB" w:rsidRPr="00225CCB" w:rsidRDefault="00225CCB" w:rsidP="00225CCB">
      <w:r w:rsidRPr="00225CCB">
        <w:rPr>
          <w:b/>
          <w:bCs/>
          <w:u w:val="single"/>
        </w:rPr>
        <w:t>(3) Poskytovatel nemůže po osobě uvedené v </w:t>
      </w:r>
      <w:hyperlink r:id="rId9" w:history="1">
        <w:r w:rsidRPr="00225CCB">
          <w:rPr>
            <w:rStyle w:val="Hypertextovodkaz"/>
            <w:b/>
            <w:bCs/>
          </w:rPr>
          <w:t>§ 65 odst. 1 písm. a)</w:t>
        </w:r>
      </w:hyperlink>
      <w:r w:rsidRPr="00225CCB">
        <w:rPr>
          <w:b/>
          <w:bCs/>
          <w:u w:val="single"/>
        </w:rPr>
        <w:t> v souvislosti s pořízením výpisu nebo kopie zdravotnické dokumentace na její žádost požadovat úhradu;</w:t>
      </w:r>
      <w:r w:rsidRPr="00225CCB">
        <w:t xml:space="preserve"> to neplatí, žádá-li tato osoba o pořízení výpisu nebo kopie zdravotnické dokumentace opakovaně. V případě opakované žádosti podle věty první nebo žádosti osoby uvedené v </w:t>
      </w:r>
      <w:hyperlink r:id="rId10" w:history="1">
        <w:r w:rsidRPr="00225CCB">
          <w:rPr>
            <w:rStyle w:val="Hypertextovodkaz"/>
          </w:rPr>
          <w:t>§ 65 odst. 1 písm. b)</w:t>
        </w:r>
      </w:hyperlink>
      <w:r w:rsidRPr="00225CCB">
        <w:t> nebo </w:t>
      </w:r>
      <w:hyperlink r:id="rId11" w:history="1">
        <w:r w:rsidRPr="00225CCB">
          <w:rPr>
            <w:rStyle w:val="Hypertextovodkaz"/>
          </w:rPr>
          <w:t>c)</w:t>
        </w:r>
      </w:hyperlink>
      <w:r w:rsidRPr="00225CCB">
        <w:t> může poskytovatel požadovat úhradu ve výši, která nesmí přesáhnout součet účelně vynaložených nákladů na pořízení výpisu nebo kopie zdravotnické dokumentace a za jejich odeslání. Poskytovatel nemůže poskytnutí výpisu nebo kopie ze zdravotnické dokumentace podmínit předchozím poskytnutím úhrady podle věty druhé.</w:t>
      </w:r>
    </w:p>
    <w:p w14:paraId="2293AB9F" w14:textId="77777777" w:rsidR="00225CCB" w:rsidRDefault="00225CCB"/>
    <w:sectPr w:rsidR="00225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CB"/>
    <w:rsid w:val="00225CCB"/>
    <w:rsid w:val="00B63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00E5"/>
  <w15:chartTrackingRefBased/>
  <w15:docId w15:val="{39B6585D-026F-40D4-8F44-F8AB5ED1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25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25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25CC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25CC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25CC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25CC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25CC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25CC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25CC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5CC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25CC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25CC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25CC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25CC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25CC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25CC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25CC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25CCB"/>
    <w:rPr>
      <w:rFonts w:eastAsiaTheme="majorEastAsia" w:cstheme="majorBidi"/>
      <w:color w:val="272727" w:themeColor="text1" w:themeTint="D8"/>
    </w:rPr>
  </w:style>
  <w:style w:type="paragraph" w:styleId="Nzev">
    <w:name w:val="Title"/>
    <w:basedOn w:val="Normln"/>
    <w:next w:val="Normln"/>
    <w:link w:val="NzevChar"/>
    <w:uiPriority w:val="10"/>
    <w:qFormat/>
    <w:rsid w:val="00225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25CC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25CC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25CC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25CCB"/>
    <w:pPr>
      <w:spacing w:before="160"/>
      <w:jc w:val="center"/>
    </w:pPr>
    <w:rPr>
      <w:i/>
      <w:iCs/>
      <w:color w:val="404040" w:themeColor="text1" w:themeTint="BF"/>
    </w:rPr>
  </w:style>
  <w:style w:type="character" w:customStyle="1" w:styleId="CittChar">
    <w:name w:val="Citát Char"/>
    <w:basedOn w:val="Standardnpsmoodstavce"/>
    <w:link w:val="Citt"/>
    <w:uiPriority w:val="29"/>
    <w:rsid w:val="00225CCB"/>
    <w:rPr>
      <w:i/>
      <w:iCs/>
      <w:color w:val="404040" w:themeColor="text1" w:themeTint="BF"/>
    </w:rPr>
  </w:style>
  <w:style w:type="paragraph" w:styleId="Odstavecseseznamem">
    <w:name w:val="List Paragraph"/>
    <w:basedOn w:val="Normln"/>
    <w:uiPriority w:val="34"/>
    <w:qFormat/>
    <w:rsid w:val="00225CCB"/>
    <w:pPr>
      <w:ind w:left="720"/>
      <w:contextualSpacing/>
    </w:pPr>
  </w:style>
  <w:style w:type="character" w:styleId="Zdraznnintenzivn">
    <w:name w:val="Intense Emphasis"/>
    <w:basedOn w:val="Standardnpsmoodstavce"/>
    <w:uiPriority w:val="21"/>
    <w:qFormat/>
    <w:rsid w:val="00225CCB"/>
    <w:rPr>
      <w:i/>
      <w:iCs/>
      <w:color w:val="2F5496" w:themeColor="accent1" w:themeShade="BF"/>
    </w:rPr>
  </w:style>
  <w:style w:type="paragraph" w:styleId="Vrazncitt">
    <w:name w:val="Intense Quote"/>
    <w:basedOn w:val="Normln"/>
    <w:next w:val="Normln"/>
    <w:link w:val="VrazncittChar"/>
    <w:uiPriority w:val="30"/>
    <w:qFormat/>
    <w:rsid w:val="00225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25CCB"/>
    <w:rPr>
      <w:i/>
      <w:iCs/>
      <w:color w:val="2F5496" w:themeColor="accent1" w:themeShade="BF"/>
    </w:rPr>
  </w:style>
  <w:style w:type="character" w:styleId="Odkazintenzivn">
    <w:name w:val="Intense Reference"/>
    <w:basedOn w:val="Standardnpsmoodstavce"/>
    <w:uiPriority w:val="32"/>
    <w:qFormat/>
    <w:rsid w:val="00225CCB"/>
    <w:rPr>
      <w:b/>
      <w:bCs/>
      <w:smallCaps/>
      <w:color w:val="2F5496" w:themeColor="accent1" w:themeShade="BF"/>
      <w:spacing w:val="5"/>
    </w:rPr>
  </w:style>
  <w:style w:type="character" w:styleId="Hypertextovodkaz">
    <w:name w:val="Hyperlink"/>
    <w:basedOn w:val="Standardnpsmoodstavce"/>
    <w:uiPriority w:val="99"/>
    <w:unhideWhenUsed/>
    <w:rsid w:val="00225CCB"/>
    <w:rPr>
      <w:color w:val="0563C1" w:themeColor="hyperlink"/>
      <w:u w:val="single"/>
    </w:rPr>
  </w:style>
  <w:style w:type="character" w:styleId="Nevyeenzmnka">
    <w:name w:val="Unresolved Mention"/>
    <w:basedOn w:val="Standardnpsmoodstavce"/>
    <w:uiPriority w:val="99"/>
    <w:semiHidden/>
    <w:unhideWhenUsed/>
    <w:rsid w:val="00225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97489">
      <w:bodyDiv w:val="1"/>
      <w:marLeft w:val="0"/>
      <w:marRight w:val="0"/>
      <w:marTop w:val="0"/>
      <w:marBottom w:val="0"/>
      <w:divBdr>
        <w:top w:val="none" w:sz="0" w:space="0" w:color="auto"/>
        <w:left w:val="none" w:sz="0" w:space="0" w:color="auto"/>
        <w:bottom w:val="none" w:sz="0" w:space="0" w:color="auto"/>
        <w:right w:val="none" w:sz="0" w:space="0" w:color="auto"/>
      </w:divBdr>
      <w:divsChild>
        <w:div w:id="426586318">
          <w:marLeft w:val="0"/>
          <w:marRight w:val="0"/>
          <w:marTop w:val="312"/>
          <w:marBottom w:val="96"/>
          <w:divBdr>
            <w:top w:val="none" w:sz="0" w:space="0" w:color="auto"/>
            <w:left w:val="none" w:sz="0" w:space="0" w:color="auto"/>
            <w:bottom w:val="none" w:sz="0" w:space="0" w:color="auto"/>
            <w:right w:val="none" w:sz="0" w:space="0" w:color="auto"/>
          </w:divBdr>
        </w:div>
        <w:div w:id="1511404831">
          <w:marLeft w:val="0"/>
          <w:marRight w:val="0"/>
          <w:marTop w:val="0"/>
          <w:marBottom w:val="192"/>
          <w:divBdr>
            <w:top w:val="none" w:sz="0" w:space="0" w:color="auto"/>
            <w:left w:val="none" w:sz="0" w:space="0" w:color="auto"/>
            <w:bottom w:val="none" w:sz="0" w:space="0" w:color="auto"/>
            <w:right w:val="none" w:sz="0" w:space="0" w:color="auto"/>
          </w:divBdr>
          <w:divsChild>
            <w:div w:id="1870604441">
              <w:marLeft w:val="0"/>
              <w:marRight w:val="0"/>
              <w:marTop w:val="0"/>
              <w:marBottom w:val="0"/>
              <w:divBdr>
                <w:top w:val="none" w:sz="0" w:space="0" w:color="auto"/>
                <w:left w:val="none" w:sz="0" w:space="0" w:color="auto"/>
                <w:bottom w:val="none" w:sz="0" w:space="0" w:color="auto"/>
                <w:right w:val="none" w:sz="0" w:space="0" w:color="auto"/>
              </w:divBdr>
            </w:div>
            <w:div w:id="401683163">
              <w:marLeft w:val="624"/>
              <w:marRight w:val="0"/>
              <w:marTop w:val="0"/>
              <w:marBottom w:val="0"/>
              <w:divBdr>
                <w:top w:val="none" w:sz="0" w:space="0" w:color="auto"/>
                <w:left w:val="none" w:sz="0" w:space="0" w:color="auto"/>
                <w:bottom w:val="none" w:sz="0" w:space="0" w:color="auto"/>
                <w:right w:val="none" w:sz="0" w:space="0" w:color="auto"/>
              </w:divBdr>
            </w:div>
            <w:div w:id="295336373">
              <w:marLeft w:val="624"/>
              <w:marRight w:val="0"/>
              <w:marTop w:val="0"/>
              <w:marBottom w:val="0"/>
              <w:divBdr>
                <w:top w:val="none" w:sz="0" w:space="0" w:color="auto"/>
                <w:left w:val="none" w:sz="0" w:space="0" w:color="auto"/>
                <w:bottom w:val="none" w:sz="0" w:space="0" w:color="auto"/>
                <w:right w:val="none" w:sz="0" w:space="0" w:color="auto"/>
              </w:divBdr>
            </w:div>
            <w:div w:id="1286036285">
              <w:marLeft w:val="0"/>
              <w:marRight w:val="0"/>
              <w:marTop w:val="0"/>
              <w:marBottom w:val="192"/>
              <w:divBdr>
                <w:top w:val="none" w:sz="0" w:space="0" w:color="auto"/>
                <w:left w:val="none" w:sz="0" w:space="0" w:color="auto"/>
                <w:bottom w:val="none" w:sz="0" w:space="0" w:color="auto"/>
                <w:right w:val="none" w:sz="0" w:space="0" w:color="auto"/>
              </w:divBdr>
            </w:div>
          </w:divsChild>
        </w:div>
        <w:div w:id="2136554143">
          <w:marLeft w:val="0"/>
          <w:marRight w:val="0"/>
          <w:marTop w:val="0"/>
          <w:marBottom w:val="192"/>
          <w:divBdr>
            <w:top w:val="none" w:sz="0" w:space="0" w:color="auto"/>
            <w:left w:val="none" w:sz="0" w:space="0" w:color="auto"/>
            <w:bottom w:val="none" w:sz="0" w:space="0" w:color="auto"/>
            <w:right w:val="none" w:sz="0" w:space="0" w:color="auto"/>
          </w:divBdr>
        </w:div>
        <w:div w:id="298804099">
          <w:marLeft w:val="0"/>
          <w:marRight w:val="0"/>
          <w:marTop w:val="0"/>
          <w:marBottom w:val="192"/>
          <w:divBdr>
            <w:top w:val="none" w:sz="0" w:space="0" w:color="auto"/>
            <w:left w:val="none" w:sz="0" w:space="0" w:color="auto"/>
            <w:bottom w:val="none" w:sz="0" w:space="0" w:color="auto"/>
            <w:right w:val="none" w:sz="0" w:space="0" w:color="auto"/>
          </w:divBdr>
        </w:div>
      </w:divsChild>
    </w:div>
    <w:div w:id="1040936751">
      <w:bodyDiv w:val="1"/>
      <w:marLeft w:val="0"/>
      <w:marRight w:val="0"/>
      <w:marTop w:val="0"/>
      <w:marBottom w:val="0"/>
      <w:divBdr>
        <w:top w:val="none" w:sz="0" w:space="0" w:color="auto"/>
        <w:left w:val="none" w:sz="0" w:space="0" w:color="auto"/>
        <w:bottom w:val="none" w:sz="0" w:space="0" w:color="auto"/>
        <w:right w:val="none" w:sz="0" w:space="0" w:color="auto"/>
      </w:divBdr>
      <w:divsChild>
        <w:div w:id="553615298">
          <w:marLeft w:val="0"/>
          <w:marRight w:val="0"/>
          <w:marTop w:val="312"/>
          <w:marBottom w:val="96"/>
          <w:divBdr>
            <w:top w:val="none" w:sz="0" w:space="0" w:color="auto"/>
            <w:left w:val="none" w:sz="0" w:space="0" w:color="auto"/>
            <w:bottom w:val="none" w:sz="0" w:space="0" w:color="auto"/>
            <w:right w:val="none" w:sz="0" w:space="0" w:color="auto"/>
          </w:divBdr>
        </w:div>
        <w:div w:id="1068844595">
          <w:marLeft w:val="0"/>
          <w:marRight w:val="0"/>
          <w:marTop w:val="0"/>
          <w:marBottom w:val="192"/>
          <w:divBdr>
            <w:top w:val="none" w:sz="0" w:space="0" w:color="auto"/>
            <w:left w:val="none" w:sz="0" w:space="0" w:color="auto"/>
            <w:bottom w:val="none" w:sz="0" w:space="0" w:color="auto"/>
            <w:right w:val="none" w:sz="0" w:space="0" w:color="auto"/>
          </w:divBdr>
          <w:divsChild>
            <w:div w:id="1951931821">
              <w:marLeft w:val="0"/>
              <w:marRight w:val="0"/>
              <w:marTop w:val="0"/>
              <w:marBottom w:val="0"/>
              <w:divBdr>
                <w:top w:val="none" w:sz="0" w:space="0" w:color="auto"/>
                <w:left w:val="none" w:sz="0" w:space="0" w:color="auto"/>
                <w:bottom w:val="none" w:sz="0" w:space="0" w:color="auto"/>
                <w:right w:val="none" w:sz="0" w:space="0" w:color="auto"/>
              </w:divBdr>
            </w:div>
            <w:div w:id="114718880">
              <w:marLeft w:val="624"/>
              <w:marRight w:val="0"/>
              <w:marTop w:val="0"/>
              <w:marBottom w:val="0"/>
              <w:divBdr>
                <w:top w:val="none" w:sz="0" w:space="0" w:color="auto"/>
                <w:left w:val="none" w:sz="0" w:space="0" w:color="auto"/>
                <w:bottom w:val="none" w:sz="0" w:space="0" w:color="auto"/>
                <w:right w:val="none" w:sz="0" w:space="0" w:color="auto"/>
              </w:divBdr>
            </w:div>
            <w:div w:id="1359350026">
              <w:marLeft w:val="624"/>
              <w:marRight w:val="0"/>
              <w:marTop w:val="0"/>
              <w:marBottom w:val="0"/>
              <w:divBdr>
                <w:top w:val="none" w:sz="0" w:space="0" w:color="auto"/>
                <w:left w:val="none" w:sz="0" w:space="0" w:color="auto"/>
                <w:bottom w:val="none" w:sz="0" w:space="0" w:color="auto"/>
                <w:right w:val="none" w:sz="0" w:space="0" w:color="auto"/>
              </w:divBdr>
            </w:div>
            <w:div w:id="1089159688">
              <w:marLeft w:val="0"/>
              <w:marRight w:val="0"/>
              <w:marTop w:val="0"/>
              <w:marBottom w:val="192"/>
              <w:divBdr>
                <w:top w:val="none" w:sz="0" w:space="0" w:color="auto"/>
                <w:left w:val="none" w:sz="0" w:space="0" w:color="auto"/>
                <w:bottom w:val="none" w:sz="0" w:space="0" w:color="auto"/>
                <w:right w:val="none" w:sz="0" w:space="0" w:color="auto"/>
              </w:divBdr>
            </w:div>
          </w:divsChild>
        </w:div>
        <w:div w:id="907884150">
          <w:marLeft w:val="0"/>
          <w:marRight w:val="0"/>
          <w:marTop w:val="0"/>
          <w:marBottom w:val="192"/>
          <w:divBdr>
            <w:top w:val="none" w:sz="0" w:space="0" w:color="auto"/>
            <w:left w:val="none" w:sz="0" w:space="0" w:color="auto"/>
            <w:bottom w:val="none" w:sz="0" w:space="0" w:color="auto"/>
            <w:right w:val="none" w:sz="0" w:space="0" w:color="auto"/>
          </w:divBdr>
        </w:div>
        <w:div w:id="1440370368">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75500/1/ASPI%253A/372/2011%20Sb.%252365.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spi.cz/products/lawText/1/75500/1/ASPI%253A/372/2011%20Sb.%252365.2.b-65.2.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pi.cz/products/lawText/1/75500/1/ASPI%253A/372/2011%20Sb.%252365.1" TargetMode="External"/><Relationship Id="rId11" Type="http://schemas.openxmlformats.org/officeDocument/2006/relationships/hyperlink" Target="https://www.aspi.cz/products/lawText/1/75500/1/ASPI%253A/372/2011%20Sb.%252365.1.c" TargetMode="External"/><Relationship Id="rId5" Type="http://schemas.openxmlformats.org/officeDocument/2006/relationships/hyperlink" Target="https://www.aspi.cz/products/lawText/1/75500/1/ASPI%253A/372/2011%20Sb.%252365.2.b-65.2.k" TargetMode="External"/><Relationship Id="rId10" Type="http://schemas.openxmlformats.org/officeDocument/2006/relationships/hyperlink" Target="https://www.aspi.cz/products/lawText/1/75500/1/ASPI%253A/372/2011%20Sb.%252365.1.b" TargetMode="External"/><Relationship Id="rId4" Type="http://schemas.openxmlformats.org/officeDocument/2006/relationships/hyperlink" Target="https://www.aspi.cz/products/lawText/1/75500/1/ASPI%253A/372/2011%20Sb.%252365.1" TargetMode="External"/><Relationship Id="rId9" Type="http://schemas.openxmlformats.org/officeDocument/2006/relationships/hyperlink" Target="https://www.aspi.cz/products/lawText/1/75500/1/ASPI%253A/372/2011%20Sb.%252365.1.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2334</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cp:lastPrinted>2025-06-20T07:55:00Z</cp:lastPrinted>
  <dcterms:created xsi:type="dcterms:W3CDTF">2025-06-20T07:54:00Z</dcterms:created>
  <dcterms:modified xsi:type="dcterms:W3CDTF">2025-06-20T07:57:00Z</dcterms:modified>
</cp:coreProperties>
</file>