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4C925" w14:textId="77777777" w:rsidR="00BF2BA7" w:rsidRPr="00BF2BA7" w:rsidRDefault="00BF2BA7" w:rsidP="00BF2BA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</w:pP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Podle čl. 15 odst. 1 GDPR platí, že „</w:t>
      </w:r>
      <w:r w:rsidRPr="00BF2BA7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cs-CZ"/>
          <w14:ligatures w14:val="none"/>
        </w:rPr>
        <w:t>Subjekt údajů</w:t>
      </w: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 má právo získat od správce potvrzení, zda osobní údaje, které se ho týkají, jsou či nejsou zpracovávány, a pokud je tomu tak, </w:t>
      </w:r>
      <w:r w:rsidRPr="00BF2BA7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cs-CZ"/>
          <w14:ligatures w14:val="none"/>
        </w:rPr>
        <w:t>má právo získat přístup k těmto osobním údajům</w:t>
      </w: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…“.</w:t>
      </w:r>
    </w:p>
    <w:p w14:paraId="78D583AE" w14:textId="77777777" w:rsidR="00BF2BA7" w:rsidRPr="00BF2BA7" w:rsidRDefault="00BF2BA7" w:rsidP="00BF2BA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</w:pP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Podle čl. 12 odst. 5 GDPR pak platí, že: „Informace podle článků 13 a 14 a </w:t>
      </w:r>
      <w:r w:rsidRPr="00BF2BA7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cs-CZ"/>
          <w14:ligatures w14:val="none"/>
        </w:rPr>
        <w:t>veškerá sdělení a veškeré úkony podle článků</w:t>
      </w:r>
      <w:r w:rsidRPr="00BF2BA7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cs-CZ"/>
          <w14:ligatures w14:val="none"/>
        </w:rPr>
        <w:br/>
        <w:t>15</w:t>
      </w: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 až 22 a 34 </w:t>
      </w:r>
      <w:r w:rsidRPr="00BF2BA7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cs-CZ"/>
          <w14:ligatures w14:val="none"/>
        </w:rPr>
        <w:t>se poskytují a činí bezplatně</w:t>
      </w: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. Jsou-li žádosti podané subjektem údajů zjevně nedůvodné nebo nepřiměřené, zejména </w:t>
      </w:r>
      <w:r w:rsidRPr="00BF2BA7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cs-CZ"/>
          <w14:ligatures w14:val="none"/>
        </w:rPr>
        <w:t>protože se opakují</w:t>
      </w: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, může správce buď:</w:t>
      </w:r>
    </w:p>
    <w:p w14:paraId="32299223" w14:textId="77777777" w:rsidR="00BF2BA7" w:rsidRPr="00BF2BA7" w:rsidRDefault="00BF2BA7" w:rsidP="00BF2B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</w:pP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a) </w:t>
      </w:r>
      <w:r w:rsidRPr="00BF2BA7">
        <w:rPr>
          <w:rFonts w:ascii="Roboto" w:eastAsia="Times New Roman" w:hAnsi="Roboto" w:cs="Times New Roman"/>
          <w:b/>
          <w:bCs/>
          <w:color w:val="212529"/>
          <w:kern w:val="0"/>
          <w:sz w:val="23"/>
          <w:szCs w:val="23"/>
          <w:lang w:eastAsia="cs-CZ"/>
          <w14:ligatures w14:val="none"/>
        </w:rPr>
        <w:t>uložit přiměřený poplatek zohledňující administrativní náklady</w:t>
      </w: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 spojené s poskytnutím požadovaných informací nebo sdělení nebo s učiněním požadovaných úkonů; nebo</w:t>
      </w:r>
    </w:p>
    <w:p w14:paraId="7FD82027" w14:textId="77777777" w:rsidR="00BF2BA7" w:rsidRPr="00BF2BA7" w:rsidRDefault="00BF2BA7" w:rsidP="00BF2B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</w:pP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b) odmítnout žádosti vyhovět.“</w:t>
      </w:r>
    </w:p>
    <w:p w14:paraId="21567766" w14:textId="77777777" w:rsidR="00BF2BA7" w:rsidRPr="00BF2BA7" w:rsidRDefault="00BF2BA7" w:rsidP="00BF2BA7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</w:pP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Soudní dvůr EU dospěl k těmto klíčovým závěrům:</w:t>
      </w:r>
    </w:p>
    <w:p w14:paraId="0D2F4805" w14:textId="77777777" w:rsidR="00BF2BA7" w:rsidRPr="00BF2BA7" w:rsidRDefault="00BF2BA7" w:rsidP="00BF2B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</w:pP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Čl. 12 odst. 5 a čl. 15 odst. 1 a 3 GDPR musí být vykládány v tom smyslu, že povinnost poskytnout subjektu údajů (pozn. rozuměj pacientovi) bezplatně první kopii jeho osobních údajů, které jsou předmětem zpracování, je pro správce (pozn. rozuměj pro poskytovatele zdravotních služeb) závazná.</w:t>
      </w:r>
    </w:p>
    <w:p w14:paraId="69EA91A0" w14:textId="77777777" w:rsidR="00BF2BA7" w:rsidRPr="00BF2BA7" w:rsidRDefault="00BF2BA7" w:rsidP="00BF2B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</w:pP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GDPR neumožňuje přijmout vnitrostátní právní úpravu, která za účelem ochrany hospodářských zájmů správce ukládá subjektu údajů povinnost uhradit poplatek za první kopii jeho osobních údajů, které jsou předmětem tohoto zpracování.</w:t>
      </w:r>
    </w:p>
    <w:p w14:paraId="66E18E99" w14:textId="77777777" w:rsidR="00BF2BA7" w:rsidRPr="00BF2BA7" w:rsidRDefault="00BF2BA7" w:rsidP="00BF2B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</w:pPr>
      <w:r w:rsidRPr="00BF2BA7">
        <w:rPr>
          <w:rFonts w:ascii="Roboto" w:eastAsia="Times New Roman" w:hAnsi="Roboto" w:cs="Times New Roman"/>
          <w:color w:val="212529"/>
          <w:kern w:val="0"/>
          <w:sz w:val="23"/>
          <w:szCs w:val="23"/>
          <w:lang w:eastAsia="cs-CZ"/>
          <w14:ligatures w14:val="none"/>
        </w:rPr>
        <w:t>V rámci vztahu mezi lékařem a pacientem právo na získání kopie zpracovávaných osobních údajů znamená, že subjektu údajů musí být poskytnuta věrná a srozumitelná reprodukce všech těchto údajů. Předpokladem tohoto práva je právo získat úplnou kopii dokumentů, které se nachází v jeho zdravotnické dokumentaci, které obsahují mimo jiné uvedené údaje, pokud je poskytnutí takovéto kopie nezbytné k tomu, aby si subjekt údajů mohl ověřit správnost a úplnost údajů a byla zaručena jejich srozumitelnost.</w:t>
      </w:r>
    </w:p>
    <w:p w14:paraId="4FDE2362" w14:textId="77777777" w:rsidR="00BF2BA7" w:rsidRDefault="00BF2BA7"/>
    <w:sectPr w:rsidR="00BF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B4508"/>
    <w:multiLevelType w:val="multilevel"/>
    <w:tmpl w:val="F1866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73493"/>
    <w:multiLevelType w:val="multilevel"/>
    <w:tmpl w:val="6D66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AD3A62"/>
    <w:multiLevelType w:val="multilevel"/>
    <w:tmpl w:val="195E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666BEF"/>
    <w:multiLevelType w:val="multilevel"/>
    <w:tmpl w:val="F140B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748704">
    <w:abstractNumId w:val="2"/>
  </w:num>
  <w:num w:numId="2" w16cid:durableId="1609967411">
    <w:abstractNumId w:val="1"/>
  </w:num>
  <w:num w:numId="3" w16cid:durableId="511651969">
    <w:abstractNumId w:val="0"/>
  </w:num>
  <w:num w:numId="4" w16cid:durableId="1013730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A7"/>
    <w:rsid w:val="00BF2BA7"/>
    <w:rsid w:val="00DA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B0D1"/>
  <w15:chartTrackingRefBased/>
  <w15:docId w15:val="{54E7943A-E835-48B1-9207-58E02680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F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BF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2024-05-27T08:02:00Z</dcterms:created>
  <dcterms:modified xsi:type="dcterms:W3CDTF">2024-05-27T08:03:00Z</dcterms:modified>
</cp:coreProperties>
</file>